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7F" w:rsidRPr="001E2FDE" w:rsidRDefault="006E597F" w:rsidP="006E597F">
      <w:pPr>
        <w:spacing w:after="0" w:line="240" w:lineRule="auto"/>
        <w:ind w:left="142" w:right="282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НЕЗАВИСИМАЯ ОЦЕНКА КАЧЕСТВА ОКАЗАНИЯ УСЛУГ ОРГАНИЗАЦИЯМИ КУЛЬТУРЫ</w:t>
      </w:r>
    </w:p>
    <w:bookmarkEnd w:id="0"/>
    <w:p w:rsidR="006E597F" w:rsidRDefault="006E597F" w:rsidP="006E5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97F" w:rsidRDefault="006E597F" w:rsidP="006E59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010DD">
        <w:rPr>
          <w:rFonts w:ascii="Times New Roman" w:hAnsi="Times New Roman"/>
          <w:b/>
          <w:sz w:val="24"/>
          <w:szCs w:val="24"/>
        </w:rPr>
        <w:t>Вводная часть</w:t>
      </w:r>
    </w:p>
    <w:p w:rsidR="006E597F" w:rsidRDefault="006E597F" w:rsidP="006E59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597F" w:rsidRPr="001010DD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0DD">
        <w:rPr>
          <w:rFonts w:ascii="Times New Roman" w:hAnsi="Times New Roman"/>
          <w:sz w:val="24"/>
          <w:szCs w:val="24"/>
        </w:rPr>
        <w:t>Данное комплексное исследование осуществлялось в соответствии с Методическими рекомендациями по проведению независимой оценки качества оказания услуг организациями культуры, утвержденными в 2015 г. Они включали в себя экспертную оценку по трем основным показателям:</w:t>
      </w:r>
    </w:p>
    <w:p w:rsidR="006E597F" w:rsidRPr="001010DD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0DD">
        <w:rPr>
          <w:rFonts w:ascii="Times New Roman" w:hAnsi="Times New Roman"/>
          <w:sz w:val="24"/>
          <w:szCs w:val="24"/>
        </w:rPr>
        <w:t>1) уровень удовлетворенности населения качеством услуг, предоставляемых учреждениями культуры;</w:t>
      </w:r>
    </w:p>
    <w:p w:rsidR="006E597F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0DD">
        <w:rPr>
          <w:rFonts w:ascii="Times New Roman" w:hAnsi="Times New Roman"/>
          <w:sz w:val="24"/>
          <w:szCs w:val="24"/>
        </w:rPr>
        <w:t xml:space="preserve">2) оценки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</w:t>
      </w:r>
      <w:hyperlink r:id="rId5" w:history="1">
        <w:r w:rsidRPr="001010D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010D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010DD">
          <w:rPr>
            <w:rStyle w:val="a3"/>
            <w:rFonts w:ascii="Times New Roman" w:hAnsi="Times New Roman"/>
            <w:sz w:val="24"/>
            <w:szCs w:val="24"/>
            <w:lang w:val="en-US"/>
          </w:rPr>
          <w:t>bus</w:t>
        </w:r>
        <w:r w:rsidRPr="001010D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010DD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1010D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010D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010DD">
        <w:rPr>
          <w:rFonts w:ascii="Times New Roman" w:hAnsi="Times New Roman"/>
          <w:sz w:val="24"/>
          <w:szCs w:val="24"/>
        </w:rPr>
        <w:t>.</w:t>
      </w:r>
    </w:p>
    <w:p w:rsidR="006E597F" w:rsidRPr="001010DD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0DD">
        <w:rPr>
          <w:rFonts w:ascii="Times New Roman" w:hAnsi="Times New Roman"/>
          <w:sz w:val="24"/>
          <w:szCs w:val="24"/>
        </w:rPr>
        <w:t>3) оценка уровня открытости и доступности информации на официальных сайтах исследуемых учреждений культуры;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Для проведения независимой экспертной оценки было выбрано двадцать пять организаций: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ОГАУК «Магаданский областной театр кукол»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МОГАУК «Магаданский государственный музыкальный и драматический театр»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МАУК г. Магадана «Городской парк»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МАУК г. Магадана «Кинотеатр «Горняк»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МБУ «Кинотеатр «Факел»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МКУК «</w:t>
      </w:r>
      <w:proofErr w:type="spellStart"/>
      <w:r w:rsidRPr="00CA2700">
        <w:rPr>
          <w:rFonts w:ascii="Times New Roman" w:hAnsi="Times New Roman"/>
          <w:sz w:val="24"/>
          <w:szCs w:val="24"/>
        </w:rPr>
        <w:t>Ольский</w:t>
      </w:r>
      <w:proofErr w:type="spellEnd"/>
      <w:r w:rsidRPr="00CA2700">
        <w:rPr>
          <w:rFonts w:ascii="Times New Roman" w:hAnsi="Times New Roman"/>
          <w:sz w:val="24"/>
          <w:szCs w:val="24"/>
        </w:rPr>
        <w:t xml:space="preserve"> краеведческий музей»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МКУК «Северо-Эвенский районный краеведческий музей»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МКУК «</w:t>
      </w:r>
      <w:proofErr w:type="spellStart"/>
      <w:r w:rsidRPr="00CA2700">
        <w:rPr>
          <w:rFonts w:ascii="Times New Roman" w:hAnsi="Times New Roman"/>
          <w:sz w:val="24"/>
          <w:szCs w:val="24"/>
        </w:rPr>
        <w:t>Сеймчанский</w:t>
      </w:r>
      <w:proofErr w:type="spellEnd"/>
      <w:r w:rsidRPr="00CA2700">
        <w:rPr>
          <w:rFonts w:ascii="Times New Roman" w:hAnsi="Times New Roman"/>
          <w:sz w:val="24"/>
          <w:szCs w:val="24"/>
        </w:rPr>
        <w:t xml:space="preserve"> краеведческий музей»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МАУК г. Магадана «Музейный комплекс г. Магадана»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МАУК г. Магадана «Центр культуры»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МБУК г. Магадана «Молодежный культурный центр»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МАУК г. Магадана «Дом культуры «Пионерный»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МБУК г. Магадана «Центр досуга»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МБУК г. Магадана «Дом культуры «Снежный»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МАУК г. Магадана «Дом культуры «Энергетик»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МБУК г. Магадана «Централизованная библиотечная система»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МБУК «</w:t>
      </w:r>
      <w:proofErr w:type="spellStart"/>
      <w:r w:rsidRPr="00CA2700">
        <w:rPr>
          <w:rFonts w:ascii="Times New Roman" w:hAnsi="Times New Roman"/>
          <w:sz w:val="24"/>
          <w:szCs w:val="24"/>
        </w:rPr>
        <w:t>Хасынская</w:t>
      </w:r>
      <w:proofErr w:type="spellEnd"/>
      <w:r w:rsidRPr="00CA2700">
        <w:rPr>
          <w:rFonts w:ascii="Times New Roman" w:hAnsi="Times New Roman"/>
          <w:sz w:val="24"/>
          <w:szCs w:val="24"/>
        </w:rPr>
        <w:t xml:space="preserve"> централизованная библиотечная система»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МБУК «Централизованная библиотечная система п. Омсукчан»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МКУК «Библиотека п. Дукат»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lastRenderedPageBreak/>
        <w:t xml:space="preserve">- МБУК «Централизованная библиотечная система г. </w:t>
      </w:r>
      <w:proofErr w:type="spellStart"/>
      <w:r w:rsidRPr="00CA2700">
        <w:rPr>
          <w:rFonts w:ascii="Times New Roman" w:hAnsi="Times New Roman"/>
          <w:sz w:val="24"/>
          <w:szCs w:val="24"/>
        </w:rPr>
        <w:t>Сусуман</w:t>
      </w:r>
      <w:proofErr w:type="spellEnd"/>
      <w:r w:rsidRPr="00CA2700">
        <w:rPr>
          <w:rFonts w:ascii="Times New Roman" w:hAnsi="Times New Roman"/>
          <w:sz w:val="24"/>
          <w:szCs w:val="24"/>
        </w:rPr>
        <w:t>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МБУК «</w:t>
      </w:r>
      <w:proofErr w:type="spellStart"/>
      <w:r w:rsidRPr="00CA2700">
        <w:rPr>
          <w:rFonts w:ascii="Times New Roman" w:hAnsi="Times New Roman"/>
          <w:sz w:val="24"/>
          <w:szCs w:val="24"/>
        </w:rPr>
        <w:t>Ягоднинская</w:t>
      </w:r>
      <w:proofErr w:type="spellEnd"/>
      <w:r w:rsidRPr="00CA2700">
        <w:rPr>
          <w:rFonts w:ascii="Times New Roman" w:hAnsi="Times New Roman"/>
          <w:sz w:val="24"/>
          <w:szCs w:val="24"/>
        </w:rPr>
        <w:t xml:space="preserve"> центральная районная библиотека»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МБУК «</w:t>
      </w:r>
      <w:proofErr w:type="spellStart"/>
      <w:r w:rsidRPr="00CA2700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CA2700">
        <w:rPr>
          <w:rFonts w:ascii="Times New Roman" w:hAnsi="Times New Roman"/>
          <w:sz w:val="24"/>
          <w:szCs w:val="24"/>
        </w:rPr>
        <w:t xml:space="preserve"> централизованная библиотечная система» </w:t>
      </w:r>
      <w:proofErr w:type="spellStart"/>
      <w:r w:rsidRPr="00CA2700">
        <w:rPr>
          <w:rFonts w:ascii="Times New Roman" w:hAnsi="Times New Roman"/>
          <w:sz w:val="24"/>
          <w:szCs w:val="24"/>
        </w:rPr>
        <w:t>Тенькинского</w:t>
      </w:r>
      <w:proofErr w:type="spellEnd"/>
      <w:r w:rsidRPr="00CA2700">
        <w:rPr>
          <w:rFonts w:ascii="Times New Roman" w:hAnsi="Times New Roman"/>
          <w:sz w:val="24"/>
          <w:szCs w:val="24"/>
        </w:rPr>
        <w:t xml:space="preserve"> городского округа Магаданской области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МКУК «</w:t>
      </w:r>
      <w:proofErr w:type="spellStart"/>
      <w:r w:rsidRPr="00CA2700">
        <w:rPr>
          <w:rFonts w:ascii="Times New Roman" w:hAnsi="Times New Roman"/>
          <w:sz w:val="24"/>
          <w:szCs w:val="24"/>
        </w:rPr>
        <w:t>Ольская</w:t>
      </w:r>
      <w:proofErr w:type="spellEnd"/>
      <w:r w:rsidRPr="00CA2700">
        <w:rPr>
          <w:rFonts w:ascii="Times New Roman" w:hAnsi="Times New Roman"/>
          <w:sz w:val="24"/>
          <w:szCs w:val="24"/>
        </w:rPr>
        <w:t xml:space="preserve"> центральная библиотека им. И.А. </w:t>
      </w:r>
      <w:proofErr w:type="spellStart"/>
      <w:r w:rsidRPr="00CA2700">
        <w:rPr>
          <w:rFonts w:ascii="Times New Roman" w:hAnsi="Times New Roman"/>
          <w:sz w:val="24"/>
          <w:szCs w:val="24"/>
        </w:rPr>
        <w:t>Варрена</w:t>
      </w:r>
      <w:proofErr w:type="spellEnd"/>
      <w:r w:rsidRPr="00CA2700">
        <w:rPr>
          <w:rFonts w:ascii="Times New Roman" w:hAnsi="Times New Roman"/>
          <w:sz w:val="24"/>
          <w:szCs w:val="24"/>
        </w:rPr>
        <w:t>» муниципального образования «</w:t>
      </w:r>
      <w:proofErr w:type="spellStart"/>
      <w:r w:rsidRPr="00CA2700">
        <w:rPr>
          <w:rFonts w:ascii="Times New Roman" w:hAnsi="Times New Roman"/>
          <w:sz w:val="24"/>
          <w:szCs w:val="24"/>
        </w:rPr>
        <w:t>Ольский</w:t>
      </w:r>
      <w:proofErr w:type="spellEnd"/>
      <w:r w:rsidRPr="00CA2700">
        <w:rPr>
          <w:rFonts w:ascii="Times New Roman" w:hAnsi="Times New Roman"/>
          <w:sz w:val="24"/>
          <w:szCs w:val="24"/>
        </w:rPr>
        <w:t xml:space="preserve"> городской округ»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МКУК «Северо-Эвенская централизованная библиотечная система»</w:t>
      </w:r>
    </w:p>
    <w:p w:rsidR="006E597F" w:rsidRPr="00CA270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- МКУК «Среднеканская централизованная библиотечная система»</w:t>
      </w:r>
    </w:p>
    <w:p w:rsidR="006E597F" w:rsidRPr="00EC16F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010DD">
        <w:rPr>
          <w:rFonts w:ascii="Times New Roman" w:hAnsi="Times New Roman"/>
          <w:sz w:val="24"/>
          <w:szCs w:val="24"/>
        </w:rPr>
        <w:t xml:space="preserve">Оценка работы учреждений культуры проводилась в период </w:t>
      </w:r>
      <w:r w:rsidRPr="00B328B1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мая</w:t>
      </w:r>
      <w:r w:rsidRPr="00B328B1">
        <w:rPr>
          <w:rFonts w:ascii="Times New Roman" w:hAnsi="Times New Roman"/>
          <w:sz w:val="24"/>
          <w:szCs w:val="24"/>
        </w:rPr>
        <w:t xml:space="preserve"> 2016 г. по декабрь 2016 г.</w:t>
      </w:r>
    </w:p>
    <w:p w:rsidR="006E597F" w:rsidRPr="001010DD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0DD">
        <w:rPr>
          <w:rFonts w:ascii="Times New Roman" w:hAnsi="Times New Roman"/>
          <w:sz w:val="24"/>
          <w:szCs w:val="24"/>
        </w:rPr>
        <w:t>Для решения первой задачи (оценка качества услуг организации культуры населением) был проведен социологический опрос по анкете, разработанной в соответствии с методическими рекомендациями. Анкеты были размещены на официальных сайтах учреждений культуры, а также раздавались всем посетителям данных учреждений культуры в период пров</w:t>
      </w:r>
      <w:r>
        <w:rPr>
          <w:rFonts w:ascii="Times New Roman" w:hAnsi="Times New Roman"/>
          <w:sz w:val="24"/>
          <w:szCs w:val="24"/>
        </w:rPr>
        <w:t>едения социологического опроса.</w:t>
      </w:r>
    </w:p>
    <w:p w:rsidR="006E597F" w:rsidRPr="00EC16F0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C781A">
        <w:rPr>
          <w:rFonts w:ascii="Times New Roman" w:hAnsi="Times New Roman"/>
          <w:sz w:val="24"/>
          <w:szCs w:val="24"/>
        </w:rPr>
        <w:t>Всего в опросе приняло участие</w:t>
      </w:r>
      <w:r w:rsidRPr="00EC16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649F">
        <w:rPr>
          <w:rFonts w:ascii="Times New Roman" w:hAnsi="Times New Roman"/>
          <w:sz w:val="24"/>
          <w:szCs w:val="24"/>
        </w:rPr>
        <w:t>3074 человека.</w:t>
      </w:r>
    </w:p>
    <w:p w:rsidR="006E597F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0DD">
        <w:rPr>
          <w:rFonts w:ascii="Times New Roman" w:hAnsi="Times New Roman"/>
          <w:sz w:val="24"/>
          <w:szCs w:val="24"/>
        </w:rPr>
        <w:t xml:space="preserve">По каждому анализируемому показателю рассчитывалось среднее арифметическое, сумма </w:t>
      </w:r>
      <w:proofErr w:type="gramStart"/>
      <w:r w:rsidRPr="001010DD">
        <w:rPr>
          <w:rFonts w:ascii="Times New Roman" w:hAnsi="Times New Roman"/>
          <w:sz w:val="24"/>
          <w:szCs w:val="24"/>
        </w:rPr>
        <w:t>значений</w:t>
      </w:r>
      <w:proofErr w:type="gramEnd"/>
      <w:r w:rsidRPr="001010DD">
        <w:rPr>
          <w:rFonts w:ascii="Times New Roman" w:hAnsi="Times New Roman"/>
          <w:sz w:val="24"/>
          <w:szCs w:val="24"/>
        </w:rPr>
        <w:t xml:space="preserve"> которых и составил</w:t>
      </w:r>
      <w:r>
        <w:rPr>
          <w:rFonts w:ascii="Times New Roman" w:hAnsi="Times New Roman"/>
          <w:sz w:val="24"/>
          <w:szCs w:val="24"/>
        </w:rPr>
        <w:t>а</w:t>
      </w:r>
      <w:r w:rsidRPr="001010DD">
        <w:rPr>
          <w:rFonts w:ascii="Times New Roman" w:hAnsi="Times New Roman"/>
          <w:sz w:val="24"/>
          <w:szCs w:val="24"/>
        </w:rPr>
        <w:t xml:space="preserve"> итоговый результат – числовое выражение уровня удовлетворенности посетителей качеством оказываемых услуг исследуемы</w:t>
      </w:r>
      <w:r>
        <w:rPr>
          <w:rFonts w:ascii="Times New Roman" w:hAnsi="Times New Roman"/>
          <w:sz w:val="24"/>
          <w:szCs w:val="24"/>
        </w:rPr>
        <w:t>х</w:t>
      </w:r>
      <w:r w:rsidRPr="001010D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1010DD">
        <w:rPr>
          <w:rFonts w:ascii="Times New Roman" w:hAnsi="Times New Roman"/>
          <w:sz w:val="24"/>
          <w:szCs w:val="24"/>
        </w:rPr>
        <w:t>культуры. Среднее арифметическое по каждому критерию сравнивалось с максимально возможной оценкой, и по результатам данного сравнения формулировалис</w:t>
      </w:r>
      <w:r>
        <w:rPr>
          <w:rFonts w:ascii="Times New Roman" w:hAnsi="Times New Roman"/>
          <w:sz w:val="24"/>
          <w:szCs w:val="24"/>
        </w:rPr>
        <w:t>ь выводы в аналитической части.</w:t>
      </w:r>
    </w:p>
    <w:p w:rsidR="006E597F" w:rsidRPr="007F13B2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и третья части исследования предполагали анализ контента официальных сайтов и сайта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B074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bus</w:t>
      </w:r>
      <w:r w:rsidRPr="007F13B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7F13B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F13B2">
        <w:rPr>
          <w:rFonts w:ascii="Times New Roman" w:hAnsi="Times New Roman"/>
          <w:sz w:val="24"/>
          <w:szCs w:val="24"/>
        </w:rPr>
        <w:t>.</w:t>
      </w:r>
    </w:p>
    <w:p w:rsidR="006E597F" w:rsidRDefault="006E597F" w:rsidP="006E59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597F" w:rsidRPr="00D473E0" w:rsidRDefault="006E597F" w:rsidP="006E597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Аналитическая часть</w:t>
      </w:r>
    </w:p>
    <w:p w:rsidR="006E597F" w:rsidRPr="00D473E0" w:rsidRDefault="006E597F" w:rsidP="006E597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597F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5387">
        <w:rPr>
          <w:rFonts w:ascii="Times New Roman" w:hAnsi="Times New Roman"/>
          <w:b/>
          <w:sz w:val="24"/>
          <w:szCs w:val="24"/>
        </w:rPr>
        <w:t>Оценка уровня удовлетворенности качеством предоставляемых услуг учреждениями культуры. Результаты социологического опроса.</w:t>
      </w:r>
    </w:p>
    <w:p w:rsidR="006E597F" w:rsidRPr="00AB58A8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B58A8">
        <w:rPr>
          <w:rFonts w:ascii="Times New Roman" w:hAnsi="Times New Roman"/>
          <w:b/>
          <w:i/>
          <w:sz w:val="24"/>
          <w:szCs w:val="24"/>
        </w:rPr>
        <w:t>а) библиотеки и библиотечные системы</w:t>
      </w:r>
    </w:p>
    <w:p w:rsidR="006E597F" w:rsidRPr="00CF5EF4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F4">
        <w:rPr>
          <w:rFonts w:ascii="Times New Roman" w:hAnsi="Times New Roman"/>
          <w:sz w:val="24"/>
          <w:szCs w:val="24"/>
        </w:rPr>
        <w:t>Опрос общественного мнения пользователей МБУК г. Магадана «Централизованная библиотечная система» показал высокий уровень оценок в отношении данного учреждения. Опрос взрослых пользователей дал средний балл 56,39 из 67, возможных. Увеличение показателей организации является статистически возможным при уменьшении стоимости дополнительных услуг и улучшении уровня доступности библиотеки для лиц с ограниченными возможностями здоровья. Дополнительно следует сказать, что Центральная городская</w:t>
      </w:r>
      <w:r>
        <w:t xml:space="preserve"> </w:t>
      </w:r>
      <w:r w:rsidRPr="00CF5EF4">
        <w:rPr>
          <w:rFonts w:ascii="Times New Roman" w:hAnsi="Times New Roman"/>
          <w:sz w:val="24"/>
          <w:szCs w:val="24"/>
        </w:rPr>
        <w:t>библиотека</w:t>
      </w:r>
      <w:r>
        <w:t xml:space="preserve"> </w:t>
      </w:r>
      <w:r w:rsidRPr="00CF5EF4">
        <w:rPr>
          <w:rFonts w:ascii="Times New Roman" w:hAnsi="Times New Roman"/>
          <w:sz w:val="24"/>
          <w:szCs w:val="24"/>
        </w:rPr>
        <w:t>имени О.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EF4">
        <w:rPr>
          <w:rFonts w:ascii="Times New Roman" w:hAnsi="Times New Roman"/>
          <w:sz w:val="24"/>
          <w:szCs w:val="24"/>
        </w:rPr>
        <w:t>Куваева</w:t>
      </w:r>
      <w:proofErr w:type="spellEnd"/>
      <w:r w:rsidRPr="00CF5EF4">
        <w:rPr>
          <w:rFonts w:ascii="Times New Roman" w:hAnsi="Times New Roman"/>
          <w:sz w:val="24"/>
          <w:szCs w:val="24"/>
        </w:rPr>
        <w:t>, по мнению пользователей услуг, нуждается в ремонте фасада, а Библиотека-филиал №5 в п. Сокол помимо ремонта фасада настоятельно нуждается в замене кресел.</w:t>
      </w:r>
    </w:p>
    <w:p w:rsidR="006E597F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точки зрения существующей методики оценки </w:t>
      </w:r>
      <w:r w:rsidRPr="00CA2700">
        <w:rPr>
          <w:rFonts w:ascii="Times New Roman" w:hAnsi="Times New Roman"/>
          <w:sz w:val="24"/>
          <w:szCs w:val="24"/>
        </w:rPr>
        <w:t>МБУК «</w:t>
      </w:r>
      <w:proofErr w:type="spellStart"/>
      <w:r w:rsidRPr="00CA2700">
        <w:rPr>
          <w:rFonts w:ascii="Times New Roman" w:hAnsi="Times New Roman"/>
          <w:sz w:val="24"/>
          <w:szCs w:val="24"/>
        </w:rPr>
        <w:t>Ягоднинская</w:t>
      </w:r>
      <w:proofErr w:type="spellEnd"/>
      <w:r w:rsidRPr="00CA2700">
        <w:rPr>
          <w:rFonts w:ascii="Times New Roman" w:hAnsi="Times New Roman"/>
          <w:sz w:val="24"/>
          <w:szCs w:val="24"/>
        </w:rPr>
        <w:t xml:space="preserve"> центральная районная библиотека»</w:t>
      </w:r>
      <w:r>
        <w:rPr>
          <w:rFonts w:ascii="Times New Roman" w:hAnsi="Times New Roman"/>
          <w:sz w:val="24"/>
          <w:szCs w:val="24"/>
        </w:rPr>
        <w:t xml:space="preserve"> имеет стандартный набор проблем для учреждений культуры Магаданской области. Удобство пользования электронными сервисами, электронными каталогами, судя по отзывам пользователей, оставляет желать лучшего. В то же время, по мнению пользователей библиотеки, уровень доступности библиотеки для лиц с физическими ограничениями не соответствует современным требованиям. Из положительных моментов следует отметить высокий уровень отметок в отношении качества работы библиотеки и доброжелательности персонала. Наиболее частое пожелание по отношению к качеству функционирования библиотеки – увеличить разнообразие книг (детективов), газет и журналов.</w:t>
      </w:r>
    </w:p>
    <w:p w:rsidR="006E597F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МБУК «</w:t>
      </w:r>
      <w:proofErr w:type="spellStart"/>
      <w:r w:rsidRPr="00CA2700">
        <w:rPr>
          <w:rFonts w:ascii="Times New Roman" w:hAnsi="Times New Roman"/>
          <w:sz w:val="24"/>
          <w:szCs w:val="24"/>
        </w:rPr>
        <w:t>Хасынская</w:t>
      </w:r>
      <w:proofErr w:type="spellEnd"/>
      <w:r w:rsidRPr="00CA2700">
        <w:rPr>
          <w:rFonts w:ascii="Times New Roman" w:hAnsi="Times New Roman"/>
          <w:sz w:val="24"/>
          <w:szCs w:val="24"/>
        </w:rPr>
        <w:t xml:space="preserve"> централизованная библиотечная система»</w:t>
      </w:r>
      <w:r>
        <w:rPr>
          <w:rFonts w:ascii="Times New Roman" w:hAnsi="Times New Roman"/>
          <w:sz w:val="24"/>
          <w:szCs w:val="24"/>
        </w:rPr>
        <w:t xml:space="preserve"> получила почти по всем пунктам системы оценки потребителями качества услуг учреждений культуры значения приближенные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максимальным (64,16 баллов из 67 возможных). В качестве рекомендации можно предложить лишь усиление работы по информированию юных читателей о новых изданиях в библиотеке, хотя и нынешний показатель по этому пункту является очень высоким. Также посетители библиотеки пожелали введение для персонала библиотечной системы </w:t>
      </w:r>
      <w:proofErr w:type="spellStart"/>
      <w:r>
        <w:rPr>
          <w:rFonts w:ascii="Times New Roman" w:hAnsi="Times New Roman"/>
          <w:sz w:val="24"/>
          <w:szCs w:val="24"/>
        </w:rPr>
        <w:t>бейджей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597F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МБУК «</w:t>
      </w:r>
      <w:proofErr w:type="spellStart"/>
      <w:r w:rsidRPr="00CA2700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CA2700">
        <w:rPr>
          <w:rFonts w:ascii="Times New Roman" w:hAnsi="Times New Roman"/>
          <w:sz w:val="24"/>
          <w:szCs w:val="24"/>
        </w:rPr>
        <w:t xml:space="preserve"> централизованная библиотечная система» </w:t>
      </w:r>
      <w:proofErr w:type="spellStart"/>
      <w:r w:rsidRPr="00CA2700">
        <w:rPr>
          <w:rFonts w:ascii="Times New Roman" w:hAnsi="Times New Roman"/>
          <w:sz w:val="24"/>
          <w:szCs w:val="24"/>
        </w:rPr>
        <w:t>Тенькинского</w:t>
      </w:r>
      <w:proofErr w:type="spellEnd"/>
      <w:r w:rsidRPr="00CA2700">
        <w:rPr>
          <w:rFonts w:ascii="Times New Roman" w:hAnsi="Times New Roman"/>
          <w:sz w:val="24"/>
          <w:szCs w:val="24"/>
        </w:rPr>
        <w:t xml:space="preserve"> городского округа Магаданской области</w:t>
      </w:r>
      <w:r>
        <w:rPr>
          <w:rFonts w:ascii="Times New Roman" w:hAnsi="Times New Roman"/>
          <w:sz w:val="24"/>
          <w:szCs w:val="24"/>
        </w:rPr>
        <w:t xml:space="preserve"> также получила высокие оценки от пользователей (50,29 из 67 возможных баллов). Приоритет в совершенствовании </w:t>
      </w:r>
      <w:r>
        <w:rPr>
          <w:rFonts w:ascii="Times New Roman" w:hAnsi="Times New Roman"/>
          <w:sz w:val="24"/>
          <w:szCs w:val="24"/>
        </w:rPr>
        <w:lastRenderedPageBreak/>
        <w:t xml:space="preserve">библиотечной системы </w:t>
      </w:r>
      <w:proofErr w:type="spellStart"/>
      <w:r>
        <w:rPr>
          <w:rFonts w:ascii="Times New Roman" w:hAnsi="Times New Roman"/>
          <w:sz w:val="24"/>
          <w:szCs w:val="24"/>
        </w:rPr>
        <w:t>Тенькинского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– улучшение собственных электронных сервисов (1,52 из 5 возможных баллов). </w:t>
      </w:r>
    </w:p>
    <w:p w:rsidR="006E597F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и в случае с другими библиотечными системами </w:t>
      </w:r>
      <w:r w:rsidRPr="00CA2700">
        <w:rPr>
          <w:rFonts w:ascii="Times New Roman" w:hAnsi="Times New Roman"/>
          <w:sz w:val="24"/>
          <w:szCs w:val="24"/>
        </w:rPr>
        <w:t>МКУК «Среднеканская централизованная библиотечная система»</w:t>
      </w:r>
      <w:r>
        <w:rPr>
          <w:rFonts w:ascii="Times New Roman" w:hAnsi="Times New Roman"/>
          <w:sz w:val="24"/>
          <w:szCs w:val="24"/>
        </w:rPr>
        <w:t xml:space="preserve"> набрала очень высокий уровень баллов от пользователей ее услугами (56,22 из 67 возможных баллов). Как и в большинстве других случаев, несколько хуже общего уровня выглядят показатели удобства пользованием электронными сервисами и уровень доступности учреждения для лиц с ограниченными возможностями здоровья. В </w:t>
      </w:r>
      <w:r w:rsidRPr="00CA2700">
        <w:rPr>
          <w:rFonts w:ascii="Times New Roman" w:hAnsi="Times New Roman"/>
          <w:sz w:val="24"/>
          <w:szCs w:val="24"/>
        </w:rPr>
        <w:t>МКУК «Среднеканская централизованная библиотечная система»</w:t>
      </w:r>
      <w:r>
        <w:rPr>
          <w:rFonts w:ascii="Times New Roman" w:hAnsi="Times New Roman"/>
          <w:sz w:val="24"/>
          <w:szCs w:val="24"/>
        </w:rPr>
        <w:t xml:space="preserve"> необходимо усилить работу по данным направлениям. </w:t>
      </w:r>
    </w:p>
    <w:p w:rsidR="006E597F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МКУК «Северо-Эвенская централизованная библиотечная система»</w:t>
      </w:r>
      <w:r>
        <w:rPr>
          <w:rFonts w:ascii="Times New Roman" w:hAnsi="Times New Roman"/>
          <w:sz w:val="24"/>
          <w:szCs w:val="24"/>
        </w:rPr>
        <w:t xml:space="preserve"> имеет проблемы, характерные для большинства библиотечных систем, они связаны с пока еще невысоким уровнем использования ими достижений электронной революции. Необходимо усилить работу по введению и оптимизации электронных сервисов, увеличивать удобство пользованием электронными каталогами библиотечной системы. Общая оценка пользователей </w:t>
      </w:r>
      <w:r w:rsidRPr="00CA2700">
        <w:rPr>
          <w:rFonts w:ascii="Times New Roman" w:hAnsi="Times New Roman"/>
          <w:sz w:val="24"/>
          <w:szCs w:val="24"/>
        </w:rPr>
        <w:t>МКУК «Северо-Эвенская централизованная библиотечная система»</w:t>
      </w:r>
      <w:r>
        <w:rPr>
          <w:rFonts w:ascii="Times New Roman" w:hAnsi="Times New Roman"/>
          <w:sz w:val="24"/>
          <w:szCs w:val="24"/>
        </w:rPr>
        <w:t xml:space="preserve"> составила 36,8 балла из 67 возможных. Низкий уровень оценивания не связан напрямую с качеством основных предоставляемых услуг и является следствием систематических пропусков в анкетах по причине отсутствия отдельных дополнительных услуг или слабого уровня информирования </w:t>
      </w:r>
      <w:r w:rsidRPr="00C56EEE">
        <w:rPr>
          <w:rFonts w:ascii="Times New Roman" w:hAnsi="Times New Roman"/>
          <w:sz w:val="24"/>
          <w:szCs w:val="24"/>
        </w:rPr>
        <w:t>об их наличии.</w:t>
      </w:r>
    </w:p>
    <w:p w:rsidR="006E597F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700">
        <w:rPr>
          <w:rFonts w:ascii="Times New Roman" w:hAnsi="Times New Roman"/>
          <w:sz w:val="24"/>
          <w:szCs w:val="24"/>
        </w:rPr>
        <w:t>МКУК «</w:t>
      </w:r>
      <w:proofErr w:type="spellStart"/>
      <w:r w:rsidRPr="00CA2700">
        <w:rPr>
          <w:rFonts w:ascii="Times New Roman" w:hAnsi="Times New Roman"/>
          <w:sz w:val="24"/>
          <w:szCs w:val="24"/>
        </w:rPr>
        <w:t>Ольская</w:t>
      </w:r>
      <w:proofErr w:type="spellEnd"/>
      <w:r w:rsidRPr="00CA2700">
        <w:rPr>
          <w:rFonts w:ascii="Times New Roman" w:hAnsi="Times New Roman"/>
          <w:sz w:val="24"/>
          <w:szCs w:val="24"/>
        </w:rPr>
        <w:t xml:space="preserve"> центральная библиотека им. И.А. </w:t>
      </w:r>
      <w:proofErr w:type="spellStart"/>
      <w:r w:rsidRPr="00CA2700">
        <w:rPr>
          <w:rFonts w:ascii="Times New Roman" w:hAnsi="Times New Roman"/>
          <w:sz w:val="24"/>
          <w:szCs w:val="24"/>
        </w:rPr>
        <w:t>Варрена</w:t>
      </w:r>
      <w:proofErr w:type="spellEnd"/>
      <w:r w:rsidRPr="00CA27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была оценена пользователями на 53,55 баллов из 67 возможных, что можно признать очень хорошим показателем. Данная оценка могла бы быть существенно выше, если бы в библиотеке велась более активная работа по введению/оптимизации системы электронного каталога и по повышению удобства пользования электронными сервисами библиотеки. Эти два пункта не позволили библиотеке выйти на отличный уровень оценки пользователями услуг.</w:t>
      </w:r>
    </w:p>
    <w:p w:rsidR="006E597F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десяти пунктам оценивания </w:t>
      </w:r>
      <w:r w:rsidRPr="00CA2700">
        <w:rPr>
          <w:rFonts w:ascii="Times New Roman" w:hAnsi="Times New Roman"/>
          <w:sz w:val="24"/>
          <w:szCs w:val="24"/>
        </w:rPr>
        <w:t>МБУК «Централизованная библиотечная система п. Омсукчан»</w:t>
      </w:r>
      <w:r>
        <w:rPr>
          <w:rFonts w:ascii="Times New Roman" w:hAnsi="Times New Roman"/>
          <w:sz w:val="24"/>
          <w:szCs w:val="24"/>
        </w:rPr>
        <w:t xml:space="preserve"> показала результаты на уровне выше среднего, что позволило данной библиотечной системе набрать общий высокий балл с точки зрения оценок пользователей (61,56 баллов из 67 возможных). Данному учреждению трудно дать какие-либо рекомендации по увеличению показателей удовлетворенности пользователей – реальное увеличение баллов статистически маловероятно. Следует придерживаться уже существующих методов взаимодействия  с пользователями библиотечной системы.</w:t>
      </w:r>
    </w:p>
    <w:p w:rsidR="006E597F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Пользователи </w:t>
      </w:r>
      <w:r w:rsidRPr="00CA2700">
        <w:rPr>
          <w:rFonts w:ascii="Times New Roman" w:hAnsi="Times New Roman"/>
          <w:sz w:val="24"/>
          <w:szCs w:val="24"/>
        </w:rPr>
        <w:t xml:space="preserve">МБУК «Централизованная библиотечная система г. </w:t>
      </w:r>
      <w:proofErr w:type="spellStart"/>
      <w:r w:rsidRPr="00CA2700">
        <w:rPr>
          <w:rFonts w:ascii="Times New Roman" w:hAnsi="Times New Roman"/>
          <w:sz w:val="24"/>
          <w:szCs w:val="24"/>
        </w:rPr>
        <w:t>Сусуман</w:t>
      </w:r>
      <w:proofErr w:type="spellEnd"/>
      <w:r w:rsidRPr="00CA27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оценили ее работу на 51,57 из 67 возможных баллов. Данный показатель может считаться </w:t>
      </w:r>
      <w:r>
        <w:rPr>
          <w:rFonts w:ascii="Times New Roman" w:hAnsi="Times New Roman"/>
          <w:sz w:val="24"/>
          <w:szCs w:val="24"/>
        </w:rPr>
        <w:lastRenderedPageBreak/>
        <w:t xml:space="preserve">хорошим, однако есть и задел для дальнейшей работы – он касается совершенствования удобством пользования электронными сервисами организации (1,53 балла из 5 </w:t>
      </w:r>
      <w:proofErr w:type="gramStart"/>
      <w:r>
        <w:rPr>
          <w:rFonts w:ascii="Times New Roman" w:hAnsi="Times New Roman"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sz w:val="24"/>
          <w:szCs w:val="24"/>
        </w:rPr>
        <w:t xml:space="preserve">). Настойчивым требованием посетителей является расширение перечня литературы,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журналов в новых поступлениях.</w:t>
      </w:r>
    </w:p>
    <w:p w:rsidR="006E597F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A9B">
        <w:rPr>
          <w:rFonts w:ascii="Times New Roman" w:hAnsi="Times New Roman"/>
          <w:sz w:val="24"/>
          <w:szCs w:val="24"/>
        </w:rPr>
        <w:t>МКУК «Библиотека п. Дукат» показала высокий уровень удовлетворенности качеством предоставляемых услуг (64,03 из 67 баллов)</w:t>
      </w:r>
      <w:r>
        <w:rPr>
          <w:rFonts w:ascii="Times New Roman" w:hAnsi="Times New Roman"/>
          <w:sz w:val="24"/>
          <w:szCs w:val="24"/>
        </w:rPr>
        <w:t>, однако и выборка была не самая большая – 23 человека. Провальных позиций или даже позиций с оценками среднего уровня у данной библиотеки нет, так что в данной части исследования каких-либо конкретных рекомендаций дать невозможно.</w:t>
      </w:r>
    </w:p>
    <w:p w:rsidR="006E597F" w:rsidRDefault="006E597F" w:rsidP="006E597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F68351F" wp14:editId="5BCADD06">
            <wp:extent cx="5486400" cy="5188688"/>
            <wp:effectExtent l="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597F" w:rsidRDefault="006E597F" w:rsidP="006E597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Рис. 1 </w:t>
      </w:r>
      <w:r w:rsidRPr="00B37BBE">
        <w:rPr>
          <w:rFonts w:ascii="Times New Roman" w:hAnsi="Times New Roman"/>
          <w:i/>
          <w:sz w:val="20"/>
          <w:szCs w:val="20"/>
        </w:rPr>
        <w:t>Оценка уровня удовлетворенности качеством оказываемых услуг (общий балл,  то есть сумма средних баллов по всем оцениваемым показателям).</w:t>
      </w:r>
      <w:r>
        <w:rPr>
          <w:rFonts w:ascii="Times New Roman" w:hAnsi="Times New Roman"/>
          <w:i/>
          <w:sz w:val="20"/>
          <w:szCs w:val="20"/>
        </w:rPr>
        <w:t xml:space="preserve"> Библиотечные системы.</w:t>
      </w:r>
    </w:p>
    <w:p w:rsidR="006E597F" w:rsidRDefault="006E597F" w:rsidP="006E597F">
      <w:pPr>
        <w:rPr>
          <w:rFonts w:ascii="Times New Roman" w:hAnsi="Times New Roman"/>
          <w:b/>
          <w:sz w:val="24"/>
          <w:szCs w:val="24"/>
        </w:rPr>
      </w:pPr>
    </w:p>
    <w:p w:rsidR="006E597F" w:rsidRDefault="006E597F" w:rsidP="006E597F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B35CBC">
        <w:rPr>
          <w:rFonts w:ascii="Times New Roman" w:hAnsi="Times New Roman"/>
          <w:b/>
          <w:sz w:val="24"/>
          <w:szCs w:val="24"/>
        </w:rPr>
        <w:t>Оценк</w:t>
      </w:r>
      <w:r>
        <w:rPr>
          <w:rFonts w:ascii="Times New Roman" w:hAnsi="Times New Roman"/>
          <w:b/>
          <w:sz w:val="24"/>
          <w:szCs w:val="24"/>
        </w:rPr>
        <w:t>а</w:t>
      </w:r>
      <w:r w:rsidRPr="00B35CBC">
        <w:rPr>
          <w:rFonts w:ascii="Times New Roman" w:hAnsi="Times New Roman"/>
          <w:b/>
          <w:sz w:val="24"/>
          <w:szCs w:val="24"/>
        </w:rPr>
        <w:t xml:space="preserve"> уровня открытости и доступности информации организации культуры на </w:t>
      </w:r>
      <w:r>
        <w:rPr>
          <w:rFonts w:ascii="Times New Roman" w:hAnsi="Times New Roman"/>
          <w:b/>
          <w:sz w:val="24"/>
          <w:szCs w:val="24"/>
        </w:rPr>
        <w:t>о</w:t>
      </w:r>
      <w:r w:rsidRPr="00B35CBC">
        <w:rPr>
          <w:rFonts w:ascii="Times New Roman" w:hAnsi="Times New Roman"/>
          <w:b/>
          <w:sz w:val="24"/>
          <w:szCs w:val="24"/>
        </w:rPr>
        <w:t xml:space="preserve">фициальном сайте для размещения информации о государственных и муниципальных учреждениях </w:t>
      </w:r>
      <w:hyperlink r:id="rId7" w:history="1">
        <w:r w:rsidRPr="00B35C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B35C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B35C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bus</w:t>
        </w:r>
        <w:r w:rsidRPr="00B35C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B35C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 w:rsidRPr="00B35C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B35C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6E597F" w:rsidRPr="007F13B2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13B2">
        <w:rPr>
          <w:rFonts w:ascii="Times New Roman" w:hAnsi="Times New Roman"/>
          <w:sz w:val="24"/>
          <w:szCs w:val="24"/>
        </w:rPr>
        <w:lastRenderedPageBreak/>
        <w:t xml:space="preserve">Осуществленная экспертная оценка по второму направлению </w:t>
      </w:r>
      <w:r>
        <w:rPr>
          <w:rFonts w:ascii="Times New Roman" w:hAnsi="Times New Roman"/>
          <w:sz w:val="24"/>
          <w:szCs w:val="24"/>
        </w:rPr>
        <w:t>–</w:t>
      </w:r>
      <w:r w:rsidRPr="007F13B2">
        <w:rPr>
          <w:rFonts w:ascii="Times New Roman" w:hAnsi="Times New Roman"/>
          <w:sz w:val="24"/>
          <w:szCs w:val="24"/>
        </w:rPr>
        <w:t xml:space="preserve"> оценка уровня доступности и открытости информации организации культуры на официальном сайте для размещения информации о государственных и муниципальных учреждениях </w:t>
      </w:r>
      <w:hyperlink r:id="rId8" w:history="1">
        <w:r w:rsidRPr="007F13B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7F13B2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7F13B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bus</w:t>
        </w:r>
        <w:r w:rsidRPr="007F13B2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7F13B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r w:rsidRPr="007F13B2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7F13B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7F13B2">
        <w:rPr>
          <w:rFonts w:ascii="Times New Roman" w:hAnsi="Times New Roman"/>
          <w:b/>
          <w:sz w:val="24"/>
          <w:szCs w:val="24"/>
        </w:rPr>
        <w:t xml:space="preserve">. </w:t>
      </w:r>
      <w:r w:rsidRPr="007F13B2">
        <w:rPr>
          <w:rFonts w:ascii="Times New Roman" w:hAnsi="Times New Roman"/>
          <w:sz w:val="24"/>
          <w:szCs w:val="24"/>
        </w:rPr>
        <w:t xml:space="preserve">показала, что только </w:t>
      </w:r>
      <w:r>
        <w:rPr>
          <w:rFonts w:ascii="Times New Roman" w:hAnsi="Times New Roman"/>
          <w:sz w:val="24"/>
          <w:szCs w:val="24"/>
        </w:rPr>
        <w:t>треть</w:t>
      </w:r>
      <w:r w:rsidRPr="007F13B2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</w:t>
      </w:r>
      <w:r w:rsidRPr="007F13B2">
        <w:rPr>
          <w:rFonts w:ascii="Times New Roman" w:hAnsi="Times New Roman"/>
          <w:sz w:val="24"/>
          <w:szCs w:val="24"/>
        </w:rPr>
        <w:t xml:space="preserve"> смогла набрать максимально допустимое значение баллов</w:t>
      </w:r>
      <w:r>
        <w:rPr>
          <w:rFonts w:ascii="Times New Roman" w:hAnsi="Times New Roman"/>
          <w:sz w:val="24"/>
          <w:szCs w:val="24"/>
        </w:rPr>
        <w:t xml:space="preserve"> по данному блоку оценивания, хотя выполнение всех необходимых требований не требует почти никаких организационных усилий.</w:t>
      </w:r>
      <w:proofErr w:type="gramEnd"/>
      <w:r>
        <w:rPr>
          <w:rFonts w:ascii="Times New Roman" w:hAnsi="Times New Roman"/>
          <w:sz w:val="24"/>
          <w:szCs w:val="24"/>
        </w:rPr>
        <w:t xml:space="preserve"> Почти все организации, набравшие максимальное количество баллов, представлены г. Магаданом </w:t>
      </w:r>
      <w:r w:rsidRPr="002756F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семь организаций) и только одно учреждение культуры за пределами г. Магадана смогло выполнить все предписания по открытости и доступности информации на сайте </w:t>
      </w:r>
      <w:r w:rsidRPr="00623440">
        <w:rPr>
          <w:rFonts w:ascii="Times New Roman" w:hAnsi="Times New Roman"/>
          <w:sz w:val="24"/>
          <w:szCs w:val="24"/>
          <w:lang w:val="en-US"/>
        </w:rPr>
        <w:t>www</w:t>
      </w:r>
      <w:r w:rsidRPr="00623440">
        <w:rPr>
          <w:rFonts w:ascii="Times New Roman" w:hAnsi="Times New Roman"/>
          <w:sz w:val="24"/>
          <w:szCs w:val="24"/>
        </w:rPr>
        <w:t>.</w:t>
      </w:r>
      <w:r w:rsidRPr="00623440">
        <w:rPr>
          <w:rFonts w:ascii="Times New Roman" w:hAnsi="Times New Roman"/>
          <w:sz w:val="24"/>
          <w:szCs w:val="24"/>
          <w:lang w:val="en-US"/>
        </w:rPr>
        <w:t>bus</w:t>
      </w:r>
      <w:r w:rsidRPr="00623440">
        <w:rPr>
          <w:rFonts w:ascii="Times New Roman" w:hAnsi="Times New Roman"/>
          <w:sz w:val="24"/>
          <w:szCs w:val="24"/>
        </w:rPr>
        <w:t>.</w:t>
      </w:r>
      <w:r w:rsidRPr="00623440">
        <w:rPr>
          <w:rFonts w:ascii="Times New Roman" w:hAnsi="Times New Roman"/>
          <w:sz w:val="24"/>
          <w:szCs w:val="24"/>
          <w:lang w:val="en-US"/>
        </w:rPr>
        <w:t>gov</w:t>
      </w:r>
      <w:r w:rsidRPr="00623440">
        <w:rPr>
          <w:rFonts w:ascii="Times New Roman" w:hAnsi="Times New Roman"/>
          <w:sz w:val="24"/>
          <w:szCs w:val="24"/>
        </w:rPr>
        <w:t>.</w:t>
      </w:r>
      <w:r w:rsidRPr="00623440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(МБУ «Кинотеатр «Факел»)</w:t>
      </w:r>
      <w:r w:rsidRPr="00E53FA3">
        <w:rPr>
          <w:rFonts w:ascii="Times New Roman" w:hAnsi="Times New Roman"/>
          <w:sz w:val="24"/>
          <w:szCs w:val="24"/>
        </w:rPr>
        <w:t>.</w:t>
      </w:r>
    </w:p>
    <w:p w:rsidR="006E597F" w:rsidRPr="007F13B2" w:rsidRDefault="006E597F" w:rsidP="006E59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 же время две трети организаций не смогли набрать все семь возможных баллов по данному блоку. Наиболее критичный недобор баллов наблюдается у организаций за пределами г. Магадана. По этому поводу считаем </w:t>
      </w:r>
      <w:proofErr w:type="gramStart"/>
      <w:r>
        <w:rPr>
          <w:rFonts w:ascii="Times New Roman" w:hAnsi="Times New Roman"/>
          <w:sz w:val="24"/>
          <w:szCs w:val="24"/>
        </w:rPr>
        <w:t>возможным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предложить разработку краткого методического пособия для организаций, недобравших баллы по данному блоку оценивания, или провести тематический </w:t>
      </w: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ответственных лиц в указанных учреждениях.</w:t>
      </w:r>
    </w:p>
    <w:p w:rsidR="006E597F" w:rsidRPr="00491809" w:rsidRDefault="006E597F" w:rsidP="006E59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491809">
        <w:rPr>
          <w:rFonts w:ascii="Times New Roman" w:hAnsi="Times New Roman"/>
          <w:b/>
          <w:sz w:val="24"/>
          <w:szCs w:val="24"/>
        </w:rPr>
        <w:lastRenderedPageBreak/>
        <w:t>Оценка уровня открытости и доступности информации на официальном сайте</w:t>
      </w:r>
    </w:p>
    <w:p w:rsidR="006E597F" w:rsidRDefault="006E597F" w:rsidP="006E597F">
      <w:pPr>
        <w:rPr>
          <w:rFonts w:ascii="Times New Roman" w:hAnsi="Times New Roman"/>
          <w:sz w:val="24"/>
          <w:szCs w:val="24"/>
        </w:rPr>
      </w:pPr>
      <w:r w:rsidRPr="00805538">
        <w:rPr>
          <w:rFonts w:ascii="Times New Roman" w:hAnsi="Times New Roman"/>
          <w:sz w:val="24"/>
          <w:szCs w:val="24"/>
        </w:rPr>
        <w:t xml:space="preserve">В ходе осуществленной независимой экспертной оценки официальных сайтов учреждений культуры были </w:t>
      </w:r>
      <w:r>
        <w:rPr>
          <w:rFonts w:ascii="Times New Roman" w:hAnsi="Times New Roman"/>
          <w:sz w:val="24"/>
          <w:szCs w:val="24"/>
        </w:rPr>
        <w:t>получены</w:t>
      </w:r>
      <w:r w:rsidRPr="00805538">
        <w:rPr>
          <w:rFonts w:ascii="Times New Roman" w:hAnsi="Times New Roman"/>
          <w:sz w:val="24"/>
          <w:szCs w:val="24"/>
        </w:rPr>
        <w:t xml:space="preserve"> следующие </w:t>
      </w:r>
      <w:r>
        <w:rPr>
          <w:rFonts w:ascii="Times New Roman" w:hAnsi="Times New Roman"/>
          <w:sz w:val="24"/>
          <w:szCs w:val="24"/>
        </w:rPr>
        <w:t>оценки</w:t>
      </w:r>
      <w:r w:rsidRPr="00805538">
        <w:rPr>
          <w:rFonts w:ascii="Times New Roman" w:hAnsi="Times New Roman"/>
          <w:sz w:val="24"/>
          <w:szCs w:val="24"/>
        </w:rPr>
        <w:t>.</w:t>
      </w:r>
    </w:p>
    <w:p w:rsidR="000449F1" w:rsidRDefault="000449F1" w:rsidP="000449F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библиотечных систем области наиболее оптимистично обстоят дела с официальным сайтом у трех учреждений культуры – МБУК г. Магадана «Централизованная библиотечная система», МБУК «Централизованная библиотечная система п. Омсукчан» и МКУК «Среднеканская централизованная библиотечная система».</w:t>
      </w:r>
    </w:p>
    <w:p w:rsidR="000449F1" w:rsidRDefault="000449F1" w:rsidP="000449F1">
      <w:pPr>
        <w:spacing w:after="0" w:line="360" w:lineRule="auto"/>
        <w:ind w:hanging="1134"/>
        <w:jc w:val="both"/>
        <w:rPr>
          <w:rFonts w:ascii="Times New Roman" w:hAnsi="Times New Roman"/>
          <w:sz w:val="24"/>
          <w:szCs w:val="24"/>
        </w:rPr>
      </w:pPr>
    </w:p>
    <w:p w:rsidR="000449F1" w:rsidRDefault="000449F1" w:rsidP="000449F1">
      <w:pPr>
        <w:spacing w:after="0" w:line="360" w:lineRule="auto"/>
        <w:ind w:hanging="1134"/>
        <w:jc w:val="both"/>
        <w:rPr>
          <w:rFonts w:ascii="Times New Roman" w:hAnsi="Times New Roman"/>
          <w:sz w:val="24"/>
          <w:szCs w:val="24"/>
        </w:rPr>
      </w:pPr>
      <w:r w:rsidRPr="00BE76F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B8515A" wp14:editId="6115DE95">
            <wp:extent cx="6090249" cy="399403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49F1" w:rsidRDefault="000449F1" w:rsidP="000449F1">
      <w:pPr>
        <w:spacing w:after="0" w:line="360" w:lineRule="auto"/>
        <w:ind w:hanging="1134"/>
        <w:jc w:val="both"/>
        <w:rPr>
          <w:rFonts w:ascii="Times New Roman" w:hAnsi="Times New Roman"/>
          <w:sz w:val="24"/>
          <w:szCs w:val="24"/>
        </w:rPr>
      </w:pPr>
    </w:p>
    <w:p w:rsidR="000449F1" w:rsidRPr="00B37BBE" w:rsidRDefault="000449F1" w:rsidP="000449F1">
      <w:pPr>
        <w:jc w:val="center"/>
        <w:rPr>
          <w:rFonts w:ascii="Times New Roman" w:hAnsi="Times New Roman"/>
          <w:i/>
          <w:sz w:val="20"/>
          <w:szCs w:val="20"/>
        </w:rPr>
      </w:pPr>
      <w:r w:rsidRPr="00BE76F8">
        <w:rPr>
          <w:rFonts w:ascii="Times New Roman" w:hAnsi="Times New Roman"/>
          <w:i/>
          <w:sz w:val="20"/>
          <w:szCs w:val="20"/>
        </w:rPr>
        <w:t xml:space="preserve">Рис. </w:t>
      </w:r>
      <w:r>
        <w:rPr>
          <w:rFonts w:ascii="Times New Roman" w:hAnsi="Times New Roman"/>
          <w:i/>
          <w:sz w:val="20"/>
          <w:szCs w:val="20"/>
        </w:rPr>
        <w:t xml:space="preserve">9 </w:t>
      </w:r>
      <w:r w:rsidRPr="00BE76F8">
        <w:rPr>
          <w:rFonts w:ascii="Times New Roman" w:hAnsi="Times New Roman"/>
          <w:i/>
          <w:sz w:val="20"/>
          <w:szCs w:val="20"/>
        </w:rPr>
        <w:t xml:space="preserve"> Оценка уровня открытости и доступности информации на официальном сайте организации, баллы  (общий балл).</w:t>
      </w:r>
      <w:r w:rsidRPr="00B37BBE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Библиотеки и библиотечные системы</w:t>
      </w:r>
    </w:p>
    <w:p w:rsidR="000449F1" w:rsidRDefault="000449F1" w:rsidP="000449F1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12063">
        <w:rPr>
          <w:rFonts w:ascii="Times New Roman" w:hAnsi="Times New Roman"/>
          <w:b/>
          <w:noProof/>
          <w:sz w:val="24"/>
          <w:szCs w:val="24"/>
          <w:lang w:eastAsia="ru-RU"/>
        </w:rPr>
        <w:t>Итоговые оценки уровня удовлетворенност качеством оказания услуг</w:t>
      </w:r>
    </w:p>
    <w:p w:rsidR="000449F1" w:rsidRDefault="000449F1" w:rsidP="000449F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163D5">
        <w:rPr>
          <w:rFonts w:ascii="Times New Roman" w:hAnsi="Times New Roman"/>
          <w:noProof/>
          <w:sz w:val="24"/>
          <w:szCs w:val="24"/>
          <w:lang w:eastAsia="ru-RU"/>
        </w:rPr>
        <w:t>Итоговые баллы по оценке удовлетворенности качеством услуг являются простым суммированием баллов, полученных организациями в ходе ввсех трех этапов исследования.</w:t>
      </w:r>
    </w:p>
    <w:p w:rsidR="000449F1" w:rsidRPr="00004CEF" w:rsidRDefault="000449F1" w:rsidP="000449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CEF">
        <w:rPr>
          <w:rFonts w:ascii="Times New Roman" w:hAnsi="Times New Roman"/>
          <w:sz w:val="24"/>
          <w:szCs w:val="24"/>
        </w:rPr>
        <w:t xml:space="preserve">Среди десяти библиотек и библиотечных систем только четыре набрали высокий уровень баллов. Исследование показало, что основная проблема данных учреждений в рамках существующей системы </w:t>
      </w:r>
      <w:proofErr w:type="spellStart"/>
      <w:r w:rsidRPr="00004CEF">
        <w:rPr>
          <w:rFonts w:ascii="Times New Roman" w:hAnsi="Times New Roman"/>
          <w:sz w:val="24"/>
          <w:szCs w:val="24"/>
        </w:rPr>
        <w:t>рейтингования</w:t>
      </w:r>
      <w:proofErr w:type="spellEnd"/>
      <w:r w:rsidRPr="00004CEF">
        <w:rPr>
          <w:rFonts w:ascii="Times New Roman" w:hAnsi="Times New Roman"/>
          <w:sz w:val="24"/>
          <w:szCs w:val="24"/>
        </w:rPr>
        <w:t xml:space="preserve"> – низкий уровень информатизации, а </w:t>
      </w:r>
      <w:r w:rsidRPr="00004CEF">
        <w:rPr>
          <w:rFonts w:ascii="Times New Roman" w:hAnsi="Times New Roman"/>
          <w:sz w:val="24"/>
          <w:szCs w:val="24"/>
        </w:rPr>
        <w:lastRenderedPageBreak/>
        <w:t>именно – игнорирование требований, направленных на открытость учреждений в электронной среде.</w:t>
      </w:r>
    </w:p>
    <w:p w:rsidR="000449F1" w:rsidRDefault="000449F1" w:rsidP="006E597F">
      <w:pPr>
        <w:rPr>
          <w:rFonts w:ascii="Times New Roman" w:hAnsi="Times New Roman"/>
          <w:b/>
          <w:sz w:val="24"/>
          <w:szCs w:val="24"/>
        </w:rPr>
      </w:pPr>
      <w:r w:rsidRPr="00902FB3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4657799B" wp14:editId="24E0F67E">
            <wp:extent cx="5486400" cy="5305646"/>
            <wp:effectExtent l="0" t="0" r="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49F1" w:rsidRDefault="000449F1" w:rsidP="006E597F">
      <w:pPr>
        <w:rPr>
          <w:rFonts w:ascii="Times New Roman" w:hAnsi="Times New Roman"/>
          <w:b/>
          <w:sz w:val="24"/>
          <w:szCs w:val="24"/>
        </w:rPr>
      </w:pPr>
    </w:p>
    <w:p w:rsidR="001675D2" w:rsidRPr="006E597F" w:rsidRDefault="001675D2" w:rsidP="006E597F"/>
    <w:sectPr w:rsidR="001675D2" w:rsidRPr="006E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D2"/>
    <w:rsid w:val="000449F1"/>
    <w:rsid w:val="001675D2"/>
    <w:rsid w:val="004812D6"/>
    <w:rsid w:val="006E597F"/>
    <w:rsid w:val="00707967"/>
    <w:rsid w:val="00716AC0"/>
    <w:rsid w:val="00C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5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5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5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5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878481335666546"/>
          <c:y val="2.7489691365737843E-2"/>
          <c:w val="0.49501166520851664"/>
          <c:h val="0.94502061726852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Максимальный балл </c:v>
                </c:pt>
                <c:pt idx="1">
                  <c:v>МБУК «Хасынская централизованная библиотечная система»</c:v>
                </c:pt>
                <c:pt idx="2">
                  <c:v>МКУК «Библиотека п. Дукат»</c:v>
                </c:pt>
                <c:pt idx="3">
                  <c:v>МБУК «Централизованная библиотечная система п. Омсукчан»</c:v>
                </c:pt>
                <c:pt idx="4">
                  <c:v>МБУК г. Магадана «Централизованная библиотечная система»</c:v>
                </c:pt>
                <c:pt idx="5">
                  <c:v>МКУК «Среднеканская централизованная библиотечная система»</c:v>
                </c:pt>
                <c:pt idx="6">
                  <c:v>МКУК «Ольская центральная библиотека им. И.А. Варрена» муниципального образования «Ольский городской округ»</c:v>
                </c:pt>
                <c:pt idx="7">
                  <c:v>МБУК «Централизованная библиотечная система г. Сусуман»</c:v>
                </c:pt>
                <c:pt idx="8">
                  <c:v>МБУК «Межпоселенческая централизованная библиотечная система» Тенькинского городского округа Магаданской области</c:v>
                </c:pt>
                <c:pt idx="9">
                  <c:v>МБУК «Ягоднинская центральная районная библиотека»</c:v>
                </c:pt>
                <c:pt idx="10">
                  <c:v>МКУК «Северо-Эвенская централизованная библиотечная система»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67</c:v>
                </c:pt>
                <c:pt idx="1">
                  <c:v>64.16</c:v>
                </c:pt>
                <c:pt idx="2">
                  <c:v>64.03</c:v>
                </c:pt>
                <c:pt idx="3">
                  <c:v>61.56</c:v>
                </c:pt>
                <c:pt idx="4">
                  <c:v>56.39</c:v>
                </c:pt>
                <c:pt idx="5">
                  <c:v>56.220000000000013</c:v>
                </c:pt>
                <c:pt idx="6">
                  <c:v>53.55</c:v>
                </c:pt>
                <c:pt idx="7">
                  <c:v>51.57</c:v>
                </c:pt>
                <c:pt idx="8">
                  <c:v>50.290000000000013</c:v>
                </c:pt>
                <c:pt idx="9">
                  <c:v>41.620000000000012</c:v>
                </c:pt>
                <c:pt idx="10">
                  <c:v>36.800000000000004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overlap val="98"/>
        <c:axId val="134489600"/>
        <c:axId val="134491136"/>
      </c:barChart>
      <c:catAx>
        <c:axId val="13448960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491136"/>
        <c:crosses val="autoZero"/>
        <c:auto val="1"/>
        <c:lblAlgn val="ctr"/>
        <c:lblOffset val="100"/>
        <c:noMultiLvlLbl val="0"/>
      </c:catAx>
      <c:valAx>
        <c:axId val="13449113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3448960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8369222076407112"/>
          <c:y val="2.7489691365737843E-2"/>
          <c:w val="0.4001042578011082"/>
          <c:h val="0.94502061726852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Максимальный балл </c:v>
                </c:pt>
                <c:pt idx="1">
                  <c:v>МБУК г. Магадана «Централизованная библиотечная система»</c:v>
                </c:pt>
                <c:pt idx="2">
                  <c:v>МБУК «Централизованная библиотечная система п. Омсукчан»</c:v>
                </c:pt>
                <c:pt idx="3">
                  <c:v>МКУК «Среднеканская централизованная библиотечная система»</c:v>
                </c:pt>
                <c:pt idx="4">
                  <c:v>МБУК «Хасынская централизованная библиотечная система»</c:v>
                </c:pt>
                <c:pt idx="5">
                  <c:v>МБУК «Ягоднинская центральная районная библиотека»</c:v>
                </c:pt>
                <c:pt idx="6">
                  <c:v>МБУК «Межпоселенческая централизованная библиотечная система» Тенькинского городского округа Магаданской области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28.5</c:v>
                </c:pt>
                <c:pt idx="2">
                  <c:v>24.5</c:v>
                </c:pt>
                <c:pt idx="3">
                  <c:v>23.5</c:v>
                </c:pt>
                <c:pt idx="4">
                  <c:v>14</c:v>
                </c:pt>
                <c:pt idx="5">
                  <c:v>10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overlap val="98"/>
        <c:axId val="134499328"/>
        <c:axId val="137364224"/>
      </c:barChart>
      <c:catAx>
        <c:axId val="13449932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7364224"/>
        <c:crosses val="autoZero"/>
        <c:auto val="1"/>
        <c:lblAlgn val="ctr"/>
        <c:lblOffset val="100"/>
        <c:noMultiLvlLbl val="0"/>
      </c:catAx>
      <c:valAx>
        <c:axId val="13736422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3449932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878481335666496"/>
          <c:y val="2.7489691365737843E-2"/>
          <c:w val="0.49501166520851636"/>
          <c:h val="0.94502061726852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Максимальный балл </c:v>
                </c:pt>
                <c:pt idx="1">
                  <c:v>МБУК «Централизованная библиотечная система п. Омсукчан»</c:v>
                </c:pt>
                <c:pt idx="2">
                  <c:v>МБУК г. Магадана «Централизованная библиотечная система»</c:v>
                </c:pt>
                <c:pt idx="3">
                  <c:v>МКУК «Среднеканская централизованная библиотечная система»</c:v>
                </c:pt>
                <c:pt idx="4">
                  <c:v>МБУК «Хасынская централизованная библиотечная система»</c:v>
                </c:pt>
                <c:pt idx="5">
                  <c:v>МКУК «Библиотека п. Дукат»</c:v>
                </c:pt>
                <c:pt idx="6">
                  <c:v>МБУК «Межпоселенческая централизованная библиотечная система» Тенькинского городского округа Магаданской области</c:v>
                </c:pt>
                <c:pt idx="7">
                  <c:v>МБУК «Ягоднинская центральная районная библиотека»</c:v>
                </c:pt>
                <c:pt idx="8">
                  <c:v>МКУК «Ольская центральная библиотека им. И.А. Варрена» муниципального образования «Ольский городской округ»</c:v>
                </c:pt>
                <c:pt idx="9">
                  <c:v>МБУК «Централизованная библиотечная система г. Сусуман»</c:v>
                </c:pt>
                <c:pt idx="10">
                  <c:v>МКУК «Северо-Эвенская централизованная библиотечная система»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114</c:v>
                </c:pt>
                <c:pt idx="1">
                  <c:v>92.06</c:v>
                </c:pt>
                <c:pt idx="2">
                  <c:v>91.89</c:v>
                </c:pt>
                <c:pt idx="3">
                  <c:v>83.72</c:v>
                </c:pt>
                <c:pt idx="4">
                  <c:v>83.16</c:v>
                </c:pt>
                <c:pt idx="5">
                  <c:v>68.03</c:v>
                </c:pt>
                <c:pt idx="6">
                  <c:v>60.290000000000013</c:v>
                </c:pt>
                <c:pt idx="7">
                  <c:v>57.620000000000012</c:v>
                </c:pt>
                <c:pt idx="8">
                  <c:v>57.55</c:v>
                </c:pt>
                <c:pt idx="9">
                  <c:v>53.57</c:v>
                </c:pt>
                <c:pt idx="10">
                  <c:v>37.800000000000004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overlap val="98"/>
        <c:axId val="137376512"/>
        <c:axId val="137378048"/>
      </c:barChart>
      <c:catAx>
        <c:axId val="13737651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7378048"/>
        <c:crosses val="autoZero"/>
        <c:auto val="1"/>
        <c:lblAlgn val="ctr"/>
        <c:lblOffset val="100"/>
        <c:noMultiLvlLbl val="0"/>
      </c:catAx>
      <c:valAx>
        <c:axId val="13737804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3737651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2017-04-26T06:38:00Z</dcterms:created>
  <dcterms:modified xsi:type="dcterms:W3CDTF">2017-04-26T06:38:00Z</dcterms:modified>
</cp:coreProperties>
</file>